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902" w:rsidRPr="00A42E63" w:rsidRDefault="00011902" w:rsidP="00011902">
      <w:pPr>
        <w:spacing w:before="40" w:after="40" w:line="300" w:lineRule="exact"/>
        <w:rPr>
          <w:rStyle w:val="Strong"/>
          <w:rFonts w:asciiTheme="minorHAnsi" w:hAnsiTheme="minorHAnsi"/>
          <w:sz w:val="22"/>
        </w:rPr>
      </w:pPr>
      <w:r w:rsidRPr="00A42E63">
        <w:rPr>
          <w:rStyle w:val="Strong"/>
          <w:rFonts w:asciiTheme="minorHAnsi" w:hAnsiTheme="minorHAnsi"/>
          <w:sz w:val="22"/>
        </w:rPr>
        <w:t>Line manager assessment report</w:t>
      </w:r>
    </w:p>
    <w:p w:rsidR="00011902" w:rsidRPr="00AC6ECA" w:rsidRDefault="00011902" w:rsidP="00011902">
      <w:pPr>
        <w:rPr>
          <w:rFonts w:asciiTheme="minorHAnsi" w:hAnsiTheme="minorHAnsi"/>
          <w:b/>
          <w:sz w:val="22"/>
          <w:szCs w:val="22"/>
        </w:rPr>
      </w:pPr>
      <w:proofErr w:type="gramStart"/>
      <w:r w:rsidRPr="00AC6ECA">
        <w:rPr>
          <w:rFonts w:asciiTheme="minorHAnsi" w:hAnsiTheme="minorHAnsi"/>
          <w:b/>
          <w:sz w:val="22"/>
          <w:szCs w:val="22"/>
        </w:rPr>
        <w:t>(Where the line manager has not been primarily responsible for providing reflective supervision or final professional assessment.</w:t>
      </w:r>
      <w:proofErr w:type="gramEnd"/>
      <w:r w:rsidRPr="00AC6ECA">
        <w:rPr>
          <w:rFonts w:asciiTheme="minorHAnsi" w:hAnsiTheme="minorHAnsi"/>
          <w:b/>
          <w:sz w:val="22"/>
          <w:szCs w:val="22"/>
        </w:rPr>
        <w:t xml:space="preserve"> This may well be the case when the line manager is not a registered social worker)</w:t>
      </w:r>
    </w:p>
    <w:p w:rsidR="00011902" w:rsidRPr="00AC6ECA" w:rsidRDefault="00011902" w:rsidP="00011902">
      <w:pPr>
        <w:spacing w:line="300" w:lineRule="auto"/>
        <w:outlineLvl w:val="0"/>
        <w:rPr>
          <w:rFonts w:asciiTheme="minorHAnsi" w:eastAsia="Arial Unicode MS" w:hAnsiTheme="minorHAnsi"/>
          <w:color w:val="000000"/>
          <w:sz w:val="22"/>
          <w:szCs w:val="22"/>
          <w:u w:color="000000"/>
        </w:rPr>
      </w:pPr>
    </w:p>
    <w:tbl>
      <w:tblPr>
        <w:tblW w:w="9498" w:type="dxa"/>
        <w:tblInd w:w="5" w:type="dxa"/>
        <w:tblLayout w:type="fixed"/>
        <w:tblLook w:val="0000" w:firstRow="0" w:lastRow="0" w:firstColumn="0" w:lastColumn="0" w:noHBand="0" w:noVBand="0"/>
      </w:tblPr>
      <w:tblGrid>
        <w:gridCol w:w="9498"/>
      </w:tblGrid>
      <w:tr w:rsidR="00011902" w:rsidRPr="00AC6ECA" w:rsidTr="0048639A">
        <w:trPr>
          <w:cantSplit/>
          <w:trHeight w:val="350"/>
        </w:trPr>
        <w:tc>
          <w:tcPr>
            <w:tcW w:w="9498" w:type="dxa"/>
            <w:tcBorders>
              <w:top w:val="single" w:sz="4" w:space="0" w:color="000000"/>
              <w:left w:val="single" w:sz="4" w:space="0" w:color="000000"/>
              <w:bottom w:val="single" w:sz="4" w:space="0" w:color="000000"/>
              <w:right w:val="single" w:sz="4" w:space="0" w:color="000000"/>
            </w:tcBorders>
            <w:shd w:val="clear" w:color="auto" w:fill="3D8DA8"/>
            <w:tcMar>
              <w:top w:w="80" w:type="dxa"/>
              <w:left w:w="0" w:type="dxa"/>
              <w:bottom w:w="80" w:type="dxa"/>
              <w:right w:w="0" w:type="dxa"/>
            </w:tcMar>
          </w:tcPr>
          <w:p w:rsidR="00011902" w:rsidRPr="00AC6ECA" w:rsidRDefault="00011902" w:rsidP="0048639A">
            <w:pPr>
              <w:rPr>
                <w:rFonts w:asciiTheme="minorHAnsi" w:hAnsiTheme="minorHAnsi"/>
                <w:b/>
                <w:color w:val="FFFFFF"/>
                <w:sz w:val="22"/>
                <w:szCs w:val="22"/>
              </w:rPr>
            </w:pPr>
            <w:r w:rsidRPr="00AC6ECA">
              <w:rPr>
                <w:rFonts w:asciiTheme="minorHAnsi" w:hAnsiTheme="minorHAnsi"/>
                <w:b/>
                <w:color w:val="FFFFFF"/>
                <w:sz w:val="22"/>
                <w:szCs w:val="22"/>
              </w:rPr>
              <w:t>Overall assessment</w:t>
            </w:r>
          </w:p>
          <w:p w:rsidR="00011902" w:rsidRPr="00AC6ECA" w:rsidRDefault="00011902" w:rsidP="0048639A">
            <w:pPr>
              <w:rPr>
                <w:rFonts w:asciiTheme="minorHAnsi" w:hAnsiTheme="minorHAnsi"/>
                <w:b/>
                <w:color w:val="FFFFFF"/>
                <w:sz w:val="22"/>
                <w:szCs w:val="22"/>
              </w:rPr>
            </w:pPr>
            <w:r w:rsidRPr="00AC6ECA">
              <w:rPr>
                <w:rFonts w:asciiTheme="minorHAnsi" w:hAnsiTheme="minorHAnsi"/>
                <w:b/>
                <w:color w:val="FFFFFF"/>
                <w:sz w:val="22"/>
                <w:szCs w:val="22"/>
              </w:rPr>
              <w:t>Building on interim reviews including the progressive assessment of the NQSW’s capability, please provide an overall judgement of professional capability at ASYE. Where there are concerns make reference to the individual capability statements.</w:t>
            </w:r>
          </w:p>
        </w:tc>
      </w:tr>
      <w:tr w:rsidR="00011902" w:rsidRPr="00AC6ECA" w:rsidTr="0048639A">
        <w:trPr>
          <w:cantSplit/>
          <w:trHeight w:val="350"/>
        </w:trPr>
        <w:tc>
          <w:tcPr>
            <w:tcW w:w="94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11902" w:rsidRPr="00AC6ECA" w:rsidRDefault="00011902" w:rsidP="0048639A">
            <w:pPr>
              <w:rPr>
                <w:rFonts w:asciiTheme="minorHAnsi" w:eastAsia="Arial Unicode MS" w:hAnsiTheme="minorHAnsi"/>
                <w:color w:val="000000"/>
                <w:sz w:val="22"/>
                <w:szCs w:val="22"/>
                <w:u w:color="000000"/>
              </w:rPr>
            </w:pPr>
          </w:p>
          <w:p w:rsidR="00011902" w:rsidRPr="00AC6ECA" w:rsidRDefault="00011902" w:rsidP="0048639A">
            <w:pPr>
              <w:rPr>
                <w:rFonts w:asciiTheme="minorHAnsi" w:hAnsiTheme="minorHAnsi"/>
                <w:sz w:val="22"/>
                <w:szCs w:val="22"/>
              </w:rPr>
            </w:pPr>
          </w:p>
        </w:tc>
      </w:tr>
    </w:tbl>
    <w:p w:rsidR="00011902" w:rsidRPr="00AC6ECA" w:rsidRDefault="00011902" w:rsidP="00011902">
      <w:pPr>
        <w:spacing w:line="300" w:lineRule="auto"/>
        <w:outlineLvl w:val="0"/>
        <w:rPr>
          <w:rFonts w:asciiTheme="minorHAnsi" w:eastAsia="Arial Unicode MS" w:hAnsiTheme="minorHAnsi"/>
          <w:i/>
          <w:color w:val="000000"/>
          <w:sz w:val="22"/>
          <w:szCs w:val="22"/>
          <w:u w:color="000000"/>
        </w:rPr>
      </w:pPr>
    </w:p>
    <w:tbl>
      <w:tblPr>
        <w:tblW w:w="9498" w:type="dxa"/>
        <w:tblInd w:w="5" w:type="dxa"/>
        <w:tblLayout w:type="fixed"/>
        <w:tblLook w:val="0000" w:firstRow="0" w:lastRow="0" w:firstColumn="0" w:lastColumn="0" w:noHBand="0" w:noVBand="0"/>
      </w:tblPr>
      <w:tblGrid>
        <w:gridCol w:w="9498"/>
      </w:tblGrid>
      <w:tr w:rsidR="00011902" w:rsidRPr="00AC6ECA" w:rsidTr="0048639A">
        <w:trPr>
          <w:cantSplit/>
          <w:trHeight w:val="350"/>
        </w:trPr>
        <w:tc>
          <w:tcPr>
            <w:tcW w:w="9498" w:type="dxa"/>
            <w:tcBorders>
              <w:top w:val="single" w:sz="4" w:space="0" w:color="000000"/>
              <w:left w:val="single" w:sz="4" w:space="0" w:color="000000"/>
              <w:bottom w:val="single" w:sz="4" w:space="0" w:color="000000"/>
              <w:right w:val="single" w:sz="4" w:space="0" w:color="000000"/>
            </w:tcBorders>
            <w:shd w:val="clear" w:color="auto" w:fill="3D8DA8"/>
            <w:tcMar>
              <w:top w:w="80" w:type="dxa"/>
              <w:left w:w="0" w:type="dxa"/>
              <w:bottom w:w="80" w:type="dxa"/>
              <w:right w:w="0" w:type="dxa"/>
            </w:tcMar>
          </w:tcPr>
          <w:p w:rsidR="00011902" w:rsidRPr="00AC6ECA" w:rsidRDefault="00011902" w:rsidP="0048639A">
            <w:pPr>
              <w:rPr>
                <w:rFonts w:asciiTheme="minorHAnsi" w:hAnsiTheme="minorHAnsi"/>
                <w:b/>
                <w:color w:val="FFFFFF"/>
                <w:sz w:val="22"/>
                <w:szCs w:val="22"/>
              </w:rPr>
            </w:pPr>
            <w:r w:rsidRPr="00AC6ECA">
              <w:rPr>
                <w:rFonts w:asciiTheme="minorHAnsi" w:hAnsiTheme="minorHAnsi"/>
                <w:b/>
                <w:color w:val="FFFFFF"/>
                <w:sz w:val="22"/>
                <w:szCs w:val="22"/>
              </w:rPr>
              <w:t xml:space="preserve">Performance management </w:t>
            </w:r>
          </w:p>
          <w:p w:rsidR="00011902" w:rsidRPr="00AC6ECA" w:rsidRDefault="00011902" w:rsidP="0048639A">
            <w:pPr>
              <w:rPr>
                <w:rFonts w:asciiTheme="minorHAnsi" w:hAnsiTheme="minorHAnsi"/>
                <w:b/>
                <w:color w:val="FFFFFF"/>
                <w:sz w:val="22"/>
                <w:szCs w:val="22"/>
              </w:rPr>
            </w:pPr>
            <w:r w:rsidRPr="00AC6ECA">
              <w:rPr>
                <w:rFonts w:asciiTheme="minorHAnsi" w:hAnsiTheme="minorHAnsi"/>
                <w:b/>
                <w:color w:val="FFFFFF"/>
                <w:sz w:val="22"/>
                <w:szCs w:val="22"/>
              </w:rPr>
              <w:t>Have performance management concerns been indicated and addressed through the interim review process?</w:t>
            </w:r>
          </w:p>
        </w:tc>
      </w:tr>
      <w:tr w:rsidR="00011902" w:rsidRPr="00AC6ECA" w:rsidTr="0048639A">
        <w:trPr>
          <w:cantSplit/>
          <w:trHeight w:val="350"/>
        </w:trPr>
        <w:tc>
          <w:tcPr>
            <w:tcW w:w="94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11902" w:rsidRPr="00AC6ECA" w:rsidRDefault="00011902" w:rsidP="0048639A">
            <w:pPr>
              <w:rPr>
                <w:rFonts w:asciiTheme="minorHAnsi" w:eastAsia="Arial Unicode MS" w:hAnsiTheme="minorHAnsi"/>
                <w:color w:val="000000"/>
                <w:sz w:val="22"/>
                <w:szCs w:val="22"/>
                <w:u w:color="000000"/>
              </w:rPr>
            </w:pPr>
          </w:p>
          <w:p w:rsidR="00011902" w:rsidRPr="00AC6ECA" w:rsidRDefault="00011902" w:rsidP="0048639A">
            <w:pPr>
              <w:rPr>
                <w:rFonts w:asciiTheme="minorHAnsi" w:hAnsiTheme="minorHAnsi"/>
                <w:sz w:val="22"/>
                <w:szCs w:val="22"/>
              </w:rPr>
            </w:pPr>
          </w:p>
        </w:tc>
      </w:tr>
    </w:tbl>
    <w:p w:rsidR="00011902" w:rsidRPr="00AC6ECA" w:rsidRDefault="00011902" w:rsidP="00011902">
      <w:pPr>
        <w:spacing w:line="300" w:lineRule="auto"/>
        <w:outlineLvl w:val="0"/>
        <w:rPr>
          <w:rFonts w:asciiTheme="minorHAnsi" w:eastAsia="Arial Unicode MS" w:hAnsiTheme="minorHAnsi"/>
          <w:i/>
          <w:color w:val="000000"/>
          <w:sz w:val="22"/>
          <w:szCs w:val="22"/>
          <w:u w:color="000000"/>
        </w:rPr>
      </w:pPr>
    </w:p>
    <w:p w:rsidR="00011902" w:rsidRPr="00AC6ECA" w:rsidRDefault="00011902" w:rsidP="00011902">
      <w:pPr>
        <w:spacing w:line="300" w:lineRule="auto"/>
        <w:outlineLvl w:val="0"/>
        <w:rPr>
          <w:rFonts w:asciiTheme="minorHAnsi" w:eastAsia="Arial Unicode MS" w:hAnsiTheme="minorHAnsi"/>
          <w:i/>
          <w:color w:val="000000"/>
          <w:sz w:val="22"/>
          <w:szCs w:val="22"/>
          <w:u w:color="000000"/>
        </w:rPr>
      </w:pPr>
    </w:p>
    <w:tbl>
      <w:tblPr>
        <w:tblW w:w="9498" w:type="dxa"/>
        <w:tblInd w:w="5" w:type="dxa"/>
        <w:tblLayout w:type="fixed"/>
        <w:tblLook w:val="0000" w:firstRow="0" w:lastRow="0" w:firstColumn="0" w:lastColumn="0" w:noHBand="0" w:noVBand="0"/>
      </w:tblPr>
      <w:tblGrid>
        <w:gridCol w:w="9498"/>
      </w:tblGrid>
      <w:tr w:rsidR="00011902" w:rsidRPr="00AC6ECA" w:rsidTr="0048639A">
        <w:trPr>
          <w:cantSplit/>
          <w:trHeight w:val="350"/>
        </w:trPr>
        <w:tc>
          <w:tcPr>
            <w:tcW w:w="9498" w:type="dxa"/>
            <w:tcBorders>
              <w:top w:val="single" w:sz="4" w:space="0" w:color="000000"/>
              <w:left w:val="single" w:sz="4" w:space="0" w:color="000000"/>
              <w:bottom w:val="single" w:sz="4" w:space="0" w:color="000000"/>
              <w:right w:val="single" w:sz="4" w:space="0" w:color="000000"/>
            </w:tcBorders>
            <w:shd w:val="clear" w:color="auto" w:fill="3D8DA8"/>
            <w:tcMar>
              <w:top w:w="80" w:type="dxa"/>
              <w:left w:w="0" w:type="dxa"/>
              <w:bottom w:w="80" w:type="dxa"/>
              <w:right w:w="0" w:type="dxa"/>
            </w:tcMar>
          </w:tcPr>
          <w:p w:rsidR="00011902" w:rsidRPr="00AC6ECA" w:rsidRDefault="00011902" w:rsidP="0048639A">
            <w:pPr>
              <w:rPr>
                <w:rFonts w:asciiTheme="minorHAnsi" w:hAnsiTheme="minorHAnsi"/>
                <w:b/>
                <w:color w:val="FFFFFF"/>
                <w:sz w:val="22"/>
                <w:szCs w:val="22"/>
              </w:rPr>
            </w:pPr>
            <w:r w:rsidRPr="00AC6ECA">
              <w:rPr>
                <w:rFonts w:asciiTheme="minorHAnsi" w:hAnsiTheme="minorHAnsi"/>
                <w:b/>
                <w:color w:val="FFFFFF"/>
                <w:sz w:val="22"/>
                <w:szCs w:val="22"/>
              </w:rPr>
              <w:t xml:space="preserve">Support </w:t>
            </w:r>
          </w:p>
          <w:p w:rsidR="00011902" w:rsidRPr="00AC6ECA" w:rsidRDefault="00011902" w:rsidP="0048639A">
            <w:pPr>
              <w:rPr>
                <w:rFonts w:asciiTheme="minorHAnsi" w:hAnsiTheme="minorHAnsi"/>
                <w:b/>
                <w:color w:val="FFFFFF"/>
                <w:sz w:val="22"/>
                <w:szCs w:val="22"/>
              </w:rPr>
            </w:pPr>
            <w:r w:rsidRPr="00AC6ECA">
              <w:rPr>
                <w:rFonts w:asciiTheme="minorHAnsi" w:hAnsiTheme="minorHAnsi"/>
                <w:b/>
                <w:color w:val="FFFFFF"/>
                <w:sz w:val="22"/>
                <w:szCs w:val="22"/>
              </w:rPr>
              <w:t>Provide details of how the NQSW has been supported. Indicate if there have been issues in the provision of the level of support and reflective supervision as expected by the employer standards at ASYE with reference to the learning agreement and interim reviews.</w:t>
            </w:r>
          </w:p>
        </w:tc>
      </w:tr>
      <w:tr w:rsidR="00011902" w:rsidRPr="00AC6ECA" w:rsidTr="0048639A">
        <w:trPr>
          <w:cantSplit/>
          <w:trHeight w:val="350"/>
        </w:trPr>
        <w:tc>
          <w:tcPr>
            <w:tcW w:w="94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11902" w:rsidRPr="00AC6ECA" w:rsidRDefault="00011902" w:rsidP="0048639A">
            <w:pPr>
              <w:rPr>
                <w:rFonts w:asciiTheme="minorHAnsi" w:eastAsia="Arial Unicode MS" w:hAnsiTheme="minorHAnsi"/>
                <w:color w:val="000000"/>
                <w:sz w:val="22"/>
                <w:szCs w:val="22"/>
                <w:u w:color="000000"/>
              </w:rPr>
            </w:pPr>
          </w:p>
          <w:p w:rsidR="00011902" w:rsidRPr="00AC6ECA" w:rsidRDefault="00011902" w:rsidP="0048639A">
            <w:pPr>
              <w:rPr>
                <w:rFonts w:asciiTheme="minorHAnsi" w:hAnsiTheme="minorHAnsi"/>
                <w:sz w:val="22"/>
                <w:szCs w:val="22"/>
              </w:rPr>
            </w:pPr>
          </w:p>
        </w:tc>
      </w:tr>
    </w:tbl>
    <w:p w:rsidR="00011902" w:rsidRPr="00AC6ECA" w:rsidRDefault="00011902" w:rsidP="00011902">
      <w:pPr>
        <w:spacing w:line="300" w:lineRule="auto"/>
        <w:outlineLvl w:val="0"/>
        <w:rPr>
          <w:rFonts w:asciiTheme="minorHAnsi" w:eastAsia="Arial Unicode MS" w:hAnsiTheme="minorHAnsi"/>
          <w:color w:val="000000"/>
          <w:sz w:val="22"/>
          <w:szCs w:val="22"/>
          <w:u w:color="000000"/>
        </w:rPr>
      </w:pPr>
    </w:p>
    <w:p w:rsidR="00E31896" w:rsidRDefault="00011902">
      <w:bookmarkStart w:id="0" w:name="_GoBack"/>
      <w:bookmarkEnd w:id="0"/>
    </w:p>
    <w:sectPr w:rsidR="00E318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902"/>
    <w:rsid w:val="00011902"/>
    <w:rsid w:val="002966EC"/>
    <w:rsid w:val="007E0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90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119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90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119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873ADBA0</Template>
  <TotalTime>1</TotalTime>
  <Pages>1</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London Borough of Ealing</dc:creator>
  <cp:lastModifiedBy>London Borough of Ealing</cp:lastModifiedBy>
  <cp:revision>1</cp:revision>
  <dcterms:created xsi:type="dcterms:W3CDTF">2014-08-21T11:12:00Z</dcterms:created>
  <dcterms:modified xsi:type="dcterms:W3CDTF">2014-08-21T11:13:00Z</dcterms:modified>
</cp:coreProperties>
</file>